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31239"/>
      <w:bookmarkStart w:id="1" w:name="_Toc22919"/>
      <w:bookmarkStart w:id="2" w:name="_Toc13565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土地利用合理性分析</w:t>
      </w:r>
      <w:bookmarkEnd w:id="0"/>
      <w:bookmarkEnd w:id="1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章节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土地是民生之本，发展之基，是极其宝贵的稀缺资源，节约土地是我国的基本国策。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0"/>
          <w:szCs w:val="30"/>
        </w:rPr>
        <w:t>实施最严格的土地管理制度，是由于我国人多地少的国情决定的，也是落实科学发展观，保证经济社会可持续发展，建设全面小康社会，推进社会主义新农村建设的必要要求。</w:t>
      </w:r>
    </w:p>
    <w:p>
      <w:pPr>
        <w:pStyle w:val="3"/>
        <w:ind w:firstLine="600"/>
        <w:rPr>
          <w:rFonts w:hint="eastAsia" w:eastAsia="仿宋_GB2312" w:cs="Times New Roman"/>
          <w:color w:val="auto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cs="Times New Roman"/>
          <w:color w:val="auto"/>
          <w:spacing w:val="-6"/>
          <w:kern w:val="0"/>
          <w:sz w:val="30"/>
          <w:szCs w:val="30"/>
          <w:lang w:val="en-US" w:eastAsia="zh-CN"/>
        </w:rPr>
        <w:t xml:space="preserve">1.1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Cs w:val="30"/>
        </w:rPr>
        <w:t>项目建设内容及建设规模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⑴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拟建规模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本项目规划总用地面积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24395.00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（合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36.59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亩），其中：建筑物基底面积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15849.00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，绿地面积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3171.35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，道路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及场地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硬化面积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5374.65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㎡。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⑵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拟建内容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规划总建筑面积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16774.00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包括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1栋钢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结构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原料库房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建筑面积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5000.00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eastAsia" w:eastAsia="仿宋" w:cs="Times New Roman"/>
          <w:color w:val="00000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1栋钢结构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生产车间建筑面积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2500.00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1栋钢结构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成品库房建筑面积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5000.00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1栋钢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结构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设备操作间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建筑面积为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1050.00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；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栋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2层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砖混结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构综合办公楼建筑面积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1850.00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；</w:t>
      </w:r>
      <w:r>
        <w:rPr>
          <w:rFonts w:hint="eastAsia" w:eastAsia="仿宋" w:cs="Times New Roman"/>
          <w:color w:val="000000"/>
          <w:sz w:val="30"/>
          <w:szCs w:val="30"/>
          <w:lang w:val="en-US" w:eastAsia="zh-CN"/>
        </w:rPr>
        <w:t>1栋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生产辅助用房建筑面积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1374.00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m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⑶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主要技术经济指标：容积率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.20，建筑系数64.97%， 绿地率13.00%，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行政办公及生活服务设施用地所占比重3.79%，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投资强度1021.81万元/公顷，详见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主要技术经济指标详见表1-1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。</w:t>
      </w:r>
    </w:p>
    <w:p>
      <w:pPr>
        <w:tabs>
          <w:tab w:val="left" w:pos="3975"/>
        </w:tabs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主要技术经济指标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主要技术经济指标详见表1-1。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项目主要技术经济指标表</w:t>
      </w:r>
    </w:p>
    <w:p>
      <w:p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24"/>
        </w:rPr>
        <w:t>表1-1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510"/>
        <w:gridCol w:w="1152"/>
        <w:gridCol w:w="1248"/>
        <w:gridCol w:w="1344"/>
        <w:gridCol w:w="2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总用地面积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㎡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24395.00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36.59亩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 w:bidi="ar"/>
              </w:rPr>
              <w:t>建筑基地占地面积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 w:bidi="ar"/>
              </w:rPr>
              <w:t>15849.00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  <w:t>总建筑面积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29274.00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主要建筑物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建筑面积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用地面积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原料库房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"/>
              </w:rPr>
              <w:t>5000.00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5000.00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，高度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生产车间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2500.00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2500.00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，高度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成品库房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5000.00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5000.00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，高度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设备操作间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1050.00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1050.00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生产辅助用房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1374.00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1374.00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综合办公楼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1850.00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925.00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道路及硬化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5374.65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绿地面积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3171.35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经济指标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.1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容积率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1.20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高度超过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建筑系数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64.97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绿地率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行政办公及生活服务设施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3.79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投资总额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3280.72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投资强度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/公顷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1021.81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76" w:firstLineChars="200"/>
        <w:textAlignment w:val="auto"/>
        <w:rPr>
          <w:rFonts w:hint="default" w:eastAsia="仿宋_GB2312" w:cs="Times New Roman"/>
          <w:color w:val="auto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color w:val="auto"/>
          <w:spacing w:val="-6"/>
          <w:kern w:val="0"/>
          <w:sz w:val="30"/>
          <w:szCs w:val="30"/>
          <w:lang w:val="en-US" w:eastAsia="zh-CN"/>
        </w:rPr>
        <w:t>1.2  符合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《陕西省建设用地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定额标准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（20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年版）》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根据陕西省人民政府办公厅关于发布和实施《陕西省建设用地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定额标准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（20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年版）》的通知，该项目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属于非金属矿物制品业。查询对比可知，非金属矿物制品业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  <w:t>绿地率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vertAlign w:val="baseline"/>
          <w:lang w:val="en-US" w:eastAsia="zh-CN"/>
        </w:rPr>
        <w:t>≦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  <w:t>15%，建筑系数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vertAlign w:val="baseline"/>
          <w:lang w:val="en-US" w:eastAsia="zh-CN"/>
        </w:rPr>
        <w:t>≧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  <w:t>45%，行政办公及生活服务设施用地比例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vertAlign w:val="baseline"/>
          <w:lang w:val="en-US" w:eastAsia="zh-CN"/>
        </w:rPr>
        <w:t>≦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  <w:t>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baseline"/>
          <w:lang w:val="en-US" w:eastAsia="zh-CN"/>
        </w:rPr>
        <w:t>查询附录2《工业项目建设用地控制指标》及《陕西省建设用地定额标准（2015年版）使用说明》可知，泾阳县城市等别为14等，行业分类代码为31，因此投资强度应≥470万元/公顷。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u w:val="single"/>
          <w:lang w:eastAsia="zh-CN"/>
        </w:rPr>
        <w:drawing>
          <wp:inline distT="0" distB="0" distL="114300" distR="114300">
            <wp:extent cx="3521710" cy="5485765"/>
            <wp:effectExtent l="9525" t="9525" r="12065" b="10160"/>
            <wp:docPr id="3" name="图片 3" descr="adfd0b2314b03b689830c2fd80a3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fd0b2314b03b689830c2fd80a300f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2000"/>
                    </a:blip>
                    <a:srcRect l="4184" r="10176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5485765"/>
                    </a:xfrm>
                    <a:prstGeom prst="rect">
                      <a:avLst/>
                    </a:prstGeom>
                    <a:ln>
                      <a:solidFill>
                        <a:srgbClr val="96979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268470" cy="6892925"/>
            <wp:effectExtent l="0" t="0" r="17780" b="3175"/>
            <wp:docPr id="9" name="图片 9" descr="cb13cc2e4bba37ca13728ceee1f4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b13cc2e4bba37ca13728ceee1f467f"/>
                    <pic:cNvPicPr>
                      <a:picLocks noChangeAspect="1"/>
                    </pic:cNvPicPr>
                  </pic:nvPicPr>
                  <pic:blipFill>
                    <a:blip r:embed="rId5"/>
                    <a:srcRect l="11146" r="6279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485005" cy="7022465"/>
            <wp:effectExtent l="0" t="0" r="10795" b="6985"/>
            <wp:docPr id="5" name="图片 5" descr="065e1d09ec4bf21b652be88bd431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5e1d09ec4bf21b652be88bd431f24"/>
                    <pic:cNvPicPr>
                      <a:picLocks noChangeAspect="1"/>
                    </pic:cNvPicPr>
                  </pic:nvPicPr>
                  <pic:blipFill>
                    <a:blip r:embed="rId6"/>
                    <a:srcRect l="5932" r="8910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590415" cy="7022465"/>
            <wp:effectExtent l="0" t="0" r="635" b="6985"/>
            <wp:docPr id="4" name="图片 4" descr="69f7aacfda235423166d5a65d0cb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f7aacfda235423166d5a65d0cb4e4"/>
                    <pic:cNvPicPr>
                      <a:picLocks noChangeAspect="1"/>
                    </pic:cNvPicPr>
                  </pic:nvPicPr>
                  <pic:blipFill>
                    <a:blip r:embed="rId7"/>
                    <a:srcRect l="12841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7037070" cy="4949825"/>
            <wp:effectExtent l="0" t="0" r="3175" b="11430"/>
            <wp:docPr id="8" name="图片 8" descr="7a70a0824395319c98efa48fa122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a70a0824395319c98efa48fa1222e0"/>
                    <pic:cNvPicPr>
                      <a:picLocks noChangeAspect="1"/>
                    </pic:cNvPicPr>
                  </pic:nvPicPr>
                  <pic:blipFill>
                    <a:blip r:embed="rId8"/>
                    <a:srcRect b="62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3707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993640" cy="3106420"/>
            <wp:effectExtent l="0" t="0" r="16510" b="17780"/>
            <wp:docPr id="6" name="图片 6" descr="ee1db83e3b95e1958d64ef85cc9a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1db83e3b95e1958d64ef85cc9a02c"/>
                    <pic:cNvPicPr>
                      <a:picLocks noChangeAspect="1"/>
                    </pic:cNvPicPr>
                  </pic:nvPicPr>
                  <pic:blipFill>
                    <a:blip r:embed="rId9"/>
                    <a:srcRect t="17071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5067300" cy="3121660"/>
            <wp:effectExtent l="0" t="0" r="0" b="2540"/>
            <wp:docPr id="7" name="图片 7" descr="697dff2bbfa396a7ccb57683f75a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7dff2bbfa396a7ccb57683f75a9c2"/>
                    <pic:cNvPicPr>
                      <a:picLocks noChangeAspect="1"/>
                    </pic:cNvPicPr>
                  </pic:nvPicPr>
                  <pic:blipFill>
                    <a:blip r:embed="rId10"/>
                    <a:srcRect t="1787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966970" cy="7022465"/>
            <wp:effectExtent l="0" t="0" r="5080" b="6985"/>
            <wp:docPr id="2" name="图片 2" descr="46ac6db0bb38539088a87739dd92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ac6db0bb38539088a87739dd92ce4"/>
                    <pic:cNvPicPr>
                      <a:picLocks noChangeAspect="1"/>
                    </pic:cNvPicPr>
                  </pic:nvPicPr>
                  <pic:blipFill>
                    <a:blip r:embed="rId11"/>
                    <a:srcRect r="5691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drawing>
          <wp:inline distT="0" distB="0" distL="114300" distR="114300">
            <wp:extent cx="4198620" cy="7022465"/>
            <wp:effectExtent l="0" t="0" r="11430" b="6985"/>
            <wp:docPr id="1" name="图片 1" descr="c34f6b291c2da29b3f53507848c3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4f6b291c2da29b3f53507848c394b"/>
                    <pic:cNvPicPr>
                      <a:picLocks noChangeAspect="1"/>
                    </pic:cNvPicPr>
                  </pic:nvPicPr>
                  <pic:blipFill>
                    <a:blip r:embed="rId12"/>
                    <a:srcRect l="6848" r="13431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该项目中各项指标计算过程如下：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>⑴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总用地面积为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24395.00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m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36.59亩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>⑵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容积率=总建筑面积÷总用地面积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900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/>
        </w:rPr>
        <w:t>5000*2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+</w:t>
      </w: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/>
        </w:rPr>
        <w:t>2500*2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+</w:t>
      </w: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/>
        </w:rPr>
        <w:t>5000*2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+1050+1850+1374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÷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24395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80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/>
        </w:rPr>
        <w:t>1.20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>⑶</w:t>
      </w:r>
      <w:r>
        <w:rPr>
          <w:rFonts w:hint="eastAsia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建筑系数=（建筑物+构筑物+露天堆场）占地面积÷项目总用地面积×100%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500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5000+2500+5000+1050+1374+925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÷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24395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500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64.97%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0"/>
          <w:szCs w:val="30"/>
        </w:rPr>
        <w:t>⑷</w:t>
      </w:r>
      <w:r>
        <w:rPr>
          <w:rFonts w:hint="eastAsia" w:ascii="Times New Roman" w:hAnsi="Times New Roman" w:eastAsia="仿宋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行政办公及生活服务设施用地所占比重=行政办公、生活服务设施用地面积÷总用地面积×100%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80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925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÷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24395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752" w:firstLineChars="584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3.79%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⑸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绿地率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=规话建设用地范围内的绿地面积÷项目总用地面积×100%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1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    =3171.35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÷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24395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×100%</w:t>
      </w:r>
    </w:p>
    <w:p>
      <w:pPr>
        <w:pStyle w:val="2"/>
        <w:ind w:firstLine="1800" w:firstLineChars="6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= 13.00%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>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投资强度=总投资÷总用地面积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2492.7万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元÷（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24395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）公顷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=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1021.81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万元/公顷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项目用地控制指标对比情况经汇总见下表，符合国家、陕西省及当地的工业用地控制指标的要求。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用地指标对比表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</w:rPr>
        <w:t>-1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00"/>
        <w:gridCol w:w="2196"/>
        <w:gridCol w:w="1980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用地控制指标名称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实际指标值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建设用地指标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是否符合标准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投资强度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1021.81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万元/公顷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470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万元/公顷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容积率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≥0.7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建筑系数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64.97%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≥4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%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绿地率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13.00%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15%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行政办公及生活服务设施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3.79%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≤7%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备注：控制指标取自陕西省建设用地标准，行业分类代码31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该项目净用地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约合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36.59亩。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年产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50万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吨机制砂生产线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建设项目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本项目不属于《限制用地项目目录（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2012年本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）》和《禁止用地项目目录（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2012年本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）》中的行业，且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各项用地指标符合国家用地指标，占地规模合理，适宜建设。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7ED4"/>
    <w:rsid w:val="4383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 2"/>
    <w:basedOn w:val="1"/>
    <w:next w:val="1"/>
    <w:qFormat/>
    <w:uiPriority w:val="0"/>
    <w:pPr>
      <w:spacing w:line="360" w:lineRule="auto"/>
      <w:ind w:firstLine="200" w:firstLineChars="200"/>
    </w:pPr>
    <w:rPr>
      <w:rFonts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2020-12-23T01:30:00Z</dcterms:created>
  <dc:creator>硕鑫咨询技术部13309288763</dc:creator>
  <cp:lastModifiedBy>硕鑫咨询技术部13309288763</cp:lastModifiedBy>
  <dcterms:modified xsi:type="dcterms:W3CDTF">2020-12-23T01:34:03Z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